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sz w:val="16"/>
        </w:rPr>
      </w:pPr>
      <w:r>
        <w:rPr>
          <w:b/>
          <w:sz w:val="16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ПРЕДСТАВИТЕЛЬНОЕ  СОБРАНИЕ</w:t>
      </w:r>
      <w:r/>
    </w:p>
    <w:p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0"/>
        <w:rPr>
          <w:sz w:val="28"/>
          <w:szCs w:val="28"/>
        </w:rPr>
      </w:pPr>
      <w:r>
        <w:rPr>
          <w:sz w:val="28"/>
          <w:szCs w:val="28"/>
        </w:rPr>
        <w:t xml:space="preserve">Р  Е  Ш  Е  Н  И  Е (проект)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74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4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внесении изменений в Правила благоустройства территории Кирилловского муниципального округа Вологодской области, утвержденные решением  Представительного Собрания округа от 26.12.2023 № 95</w:t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</w:t>
      </w:r>
      <w:r>
        <w:rPr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постановлениями Правител</w:t>
      </w:r>
      <w:r>
        <w:rPr>
          <w:sz w:val="28"/>
          <w:szCs w:val="28"/>
        </w:rPr>
        <w:t xml:space="preserve">ьства Вологодской области от 27.08.2024 № 1061 «Об утверждении Единого регионального стандарта «Общие требования к содержанию отдельных элементов благоустройства», 20.03.2025 № 394 «О внесении изменений в постановление Правительства области от 27.08.2024 №</w:t>
      </w:r>
      <w:r>
        <w:rPr>
          <w:sz w:val="28"/>
          <w:szCs w:val="28"/>
        </w:rPr>
        <w:t xml:space="preserve"> 1061», Уставом Кирилловского муниципального  округа Вологодской области Представительное Со</w:t>
      </w:r>
      <w:r>
        <w:rPr>
          <w:sz w:val="28"/>
          <w:szCs w:val="28"/>
        </w:rPr>
        <w:t xml:space="preserve">брание</w:t>
      </w:r>
      <w:r/>
    </w:p>
    <w:p>
      <w:pPr>
        <w:pStyle w:val="680"/>
        <w:jc w:val="left"/>
        <w:spacing w:before="0" w:beforeAutospacing="0" w:after="161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 Е Ш И Л О: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в Правила благоустройства территории Кирилловского муниципального округа Вологодской области, утвержденные решением  Представительного Собрания округа от 26.12.2023 № 95 (в редакции решений Представительного Собрания от 11.07.2024 № 167, от 12.12.2024 № 224), следующие изменения: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8.3.5.3. пункта 8.3 раздела 8 Правил «Требования к размещению информации на территории населенных пунктов, в том числе установки указателей с наименованиями улиц и номерами домов, вывесок» изложить в следующей редакции: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«8.3.5.</w:t>
      </w: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Вывески на фасадах зданий, строений, сооружений, относящихся к малоэтажной жилой застройке, размещаются не выше первого этажа, на фасадах иных жилых домов - не выше второго этажа.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размещения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информации,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относимой распорядительными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рекламе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размещению обычаями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делового оборота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информирования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исключительно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организациях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предпринимателях,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находящихся (осуществляющих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конкретных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зданиях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строениях,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(индивидуальный предприниматель)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вправе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средство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размещения информации на крыше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здания,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строения (информационную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крышную конструкцию) в</w:t>
      </w:r>
      <w:r>
        <w:rPr>
          <w:sz w:val="28"/>
          <w:szCs w:val="28"/>
        </w:rPr>
        <w:t xml:space="preserve"> соответ</w:t>
      </w:r>
      <w:r>
        <w:rPr>
          <w:sz w:val="28"/>
          <w:szCs w:val="28"/>
        </w:rPr>
        <w:t xml:space="preserve">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требованиями: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запрещается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установка</w:t>
      </w:r>
      <w:r>
        <w:rPr>
          <w:sz w:val="28"/>
          <w:szCs w:val="28"/>
        </w:rPr>
        <w:t xml:space="preserve"> любых </w:t>
      </w:r>
      <w:r>
        <w:rPr>
          <w:sz w:val="28"/>
          <w:szCs w:val="28"/>
        </w:rPr>
        <w:t xml:space="preserve">информационных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крышных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конструкций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непосредственно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крышах жилых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домов.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витринные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конструкции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размещаются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непосредственно 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витрины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расширения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возможностей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визуальной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 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</w:t>
      </w:r>
      <w:r>
        <w:rPr>
          <w:sz w:val="28"/>
          <w:szCs w:val="28"/>
        </w:rPr>
        <w:t xml:space="preserve">сти </w:t>
      </w:r>
      <w:r>
        <w:rPr>
          <w:sz w:val="28"/>
          <w:szCs w:val="28"/>
        </w:rPr>
        <w:t xml:space="preserve">находящейся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здании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(строении) организации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(индивидуальном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предпринимателе).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информационных витринных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конструкций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дол</w:t>
      </w:r>
      <w:r>
        <w:rPr>
          <w:sz w:val="28"/>
          <w:szCs w:val="28"/>
        </w:rPr>
        <w:t xml:space="preserve">жен превышать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 процентов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площади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остекления.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Подсветка вывесок должна соответствовать нормам, установленным CП52.13330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«СНиП23-05-95* Естественное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искусственное освещение», утвержденным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Министерства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строительства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жилищно-коммунального хозяйства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2016года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777/пр,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приглушенный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свет,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прямых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лучей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яркость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рожного движения. Видимое электрооборудование  (проводку) вывесок необходимо окрашивать в цвет фасада.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Цветовое решение вывески должно соответствовать характеристикам и архитектурному (стилевому, декоративному) решению фасадов, архитектурному облику муниципального образования.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цветового решения вывески характеристикам и архитектурному (стилевому, декоративному) решению фасадов, архитектурному облику муниципального образования определяются органами местного самоуправления.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требования к вывескам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индивидуальных предпринимателей, осуществляющих предпринимательскую деятельность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сфере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розничной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торговли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алкого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и)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никотинсодержащей продукции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 вывесок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организаций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индивидуальных предпринимателей,</w:t>
      </w:r>
      <w:r>
        <w:rPr>
          <w:sz w:val="28"/>
          <w:szCs w:val="28"/>
        </w:rPr>
        <w:t xml:space="preserve"> осу</w:t>
      </w:r>
      <w:r>
        <w:rPr>
          <w:sz w:val="28"/>
          <w:szCs w:val="28"/>
        </w:rPr>
        <w:t xml:space="preserve">ществляющих предпринимательскую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сфере розничной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торговли алкогольной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никотинсодержащей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продукции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зависят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площади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магазина, павильона, которая включает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себя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площадь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торгового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зала,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подсобных,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бытовых помещений,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помещений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приема,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хранения товаров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подготовки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продаже: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100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кв. 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 размер вывески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превышать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1,7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ширину, 0,4м по высоте; шири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 текстовой части вывески не должна превышать 1,5 м, высота—не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0,25м;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кв. 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(включительно)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 размер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вывески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превышать 4 м в ширину, 0,8 м по высоте; ширина текстовой части вывески не должна превышать3,5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м, высота —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 0,5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м;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кв. 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(включительно)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кв.м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вывески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должен превышать 8 м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ширину, 2,5 м по высоте; ширина текстовой части вывески не должна превышать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6,5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высота 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м;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кв.м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(включительно)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(включительно)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размер</w:t>
      </w:r>
      <w:r>
        <w:rPr>
          <w:sz w:val="28"/>
          <w:szCs w:val="28"/>
        </w:rPr>
        <w:t xml:space="preserve"> вывес</w:t>
      </w:r>
      <w:r>
        <w:rPr>
          <w:sz w:val="28"/>
          <w:szCs w:val="28"/>
        </w:rPr>
        <w:t xml:space="preserve">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должен превышать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ширину, 4м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высоте; ширина текстовой части вывески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должна превышать10,5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высота—не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2,5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м;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кв. м— размер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вывески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должен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превышать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 м в ширину, 5 м по высоте; ширина текстовой части вывески не должна превышать 14 м, высота — не более 4 м.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вывескам,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абзацами первым 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седьмым настоящего подпункта, не распространяются на вывески предприятий (объектов) общественного питания.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Запрещается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вывеска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крышных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вит</w:t>
      </w:r>
      <w:r>
        <w:rPr>
          <w:sz w:val="28"/>
          <w:szCs w:val="28"/>
        </w:rPr>
        <w:t xml:space="preserve">ринных конструкциях: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азвания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алкогольных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напитков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никотинсодержащей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продукции;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ассоциирующиеся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алкоголем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никотинсодержащей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продукцией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(«водка»,«пиво»,«вино»,«трубка»,«кальян»,«сигарет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»,«электронные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сигареты», «вейпы»,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пар,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прочее),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производные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них;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изображения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символы,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употреблением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алкоголя,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иной спиртосодержащей продукции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(бутылки, рюмки, стопки,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пивные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кружки, бокалы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прочее),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табака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никотинсодержащей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продукции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(трубки,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кальяны, сигареты, электронные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сигареты,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вейпы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прочее).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Требования, установленные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абзацами девятым — двенадцатым настоящего пункта,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распространяются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вывески, на</w:t>
      </w:r>
      <w:r>
        <w:rPr>
          <w:sz w:val="28"/>
          <w:szCs w:val="28"/>
        </w:rPr>
        <w:t xml:space="preserve"> которых размещены товарные зна</w:t>
      </w:r>
      <w:r>
        <w:rPr>
          <w:sz w:val="28"/>
          <w:szCs w:val="28"/>
        </w:rPr>
        <w:t xml:space="preserve">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фирменные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наименования, знаки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обслуживания,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коммерческие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обозначения организаций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индивидуальных </w:t>
      </w:r>
      <w:r>
        <w:rPr>
          <w:sz w:val="28"/>
          <w:szCs w:val="28"/>
        </w:rPr>
        <w:t xml:space="preserve">предпринимателей,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содержащие</w:t>
      </w:r>
      <w:r>
        <w:rPr>
          <w:sz w:val="28"/>
          <w:szCs w:val="28"/>
        </w:rPr>
        <w:t xml:space="preserve"> названия, сло</w:t>
      </w:r>
      <w:r>
        <w:rPr>
          <w:sz w:val="28"/>
          <w:szCs w:val="28"/>
        </w:rPr>
        <w:t xml:space="preserve">ва,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изображения,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символы,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десятым—двенадцатым настоящего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Запрещается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динамическую,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цветную</w:t>
      </w:r>
      <w:r>
        <w:rPr>
          <w:sz w:val="28"/>
          <w:szCs w:val="28"/>
        </w:rPr>
        <w:t xml:space="preserve"> акцентирующую </w:t>
      </w:r>
      <w:r>
        <w:rPr>
          <w:sz w:val="28"/>
          <w:szCs w:val="28"/>
        </w:rPr>
        <w:t xml:space="preserve">(в 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числе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контурную)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подсветку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периметру оконных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дверных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проемов, входных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зданий,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строений,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сооружений,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предприниматели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предпринимательскую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сфере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розничной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торговли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алкогольной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никотинсодержащей продукции.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территориях,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отношении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Федеральн</w:t>
      </w:r>
      <w:r>
        <w:rPr>
          <w:sz w:val="28"/>
          <w:szCs w:val="28"/>
        </w:rPr>
        <w:t xml:space="preserve">ым </w:t>
      </w:r>
      <w:r>
        <w:rPr>
          <w:sz w:val="28"/>
          <w:szCs w:val="28"/>
        </w:rPr>
        <w:t xml:space="preserve">закон</w:t>
      </w:r>
      <w:r>
        <w:rPr>
          <w:sz w:val="28"/>
          <w:szCs w:val="28"/>
        </w:rPr>
        <w:t xml:space="preserve">ом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июня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73-ФЗ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объектах культурного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наследия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(памятниках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культуры)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Федерации» установлен предмет</w:t>
      </w:r>
      <w:r>
        <w:rPr>
          <w:sz w:val="28"/>
          <w:szCs w:val="28"/>
        </w:rPr>
        <w:t xml:space="preserve"> охраны исторического поселения и утверждены границы зон охраны объектов культурного наследия,</w:t>
      </w:r>
      <w:r>
        <w:rPr>
          <w:sz w:val="28"/>
          <w:szCs w:val="28"/>
        </w:rPr>
        <w:t xml:space="preserve"> требования настоящ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 благоустройства</w:t>
      </w:r>
      <w:r>
        <w:rPr>
          <w:sz w:val="28"/>
          <w:szCs w:val="28"/>
        </w:rPr>
        <w:t xml:space="preserve"> применяются в </w:t>
      </w:r>
      <w:r>
        <w:rPr>
          <w:sz w:val="28"/>
          <w:szCs w:val="28"/>
        </w:rPr>
        <w:t xml:space="preserve">части, не противоречащей требо</w:t>
      </w:r>
      <w:r>
        <w:rPr>
          <w:sz w:val="28"/>
          <w:szCs w:val="28"/>
        </w:rPr>
        <w:t xml:space="preserve">ваниям 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градостроительным</w:t>
      </w:r>
      <w:r>
        <w:rPr>
          <w:sz w:val="28"/>
          <w:szCs w:val="28"/>
        </w:rPr>
        <w:t xml:space="preserve"> регл</w:t>
      </w:r>
      <w:r>
        <w:rPr>
          <w:sz w:val="28"/>
          <w:szCs w:val="28"/>
        </w:rPr>
        <w:t xml:space="preserve">аментам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границах тер</w:t>
      </w:r>
      <w:r>
        <w:rPr>
          <w:sz w:val="28"/>
          <w:szCs w:val="28"/>
        </w:rPr>
        <w:t xml:space="preserve">ритории исторического поселения, </w:t>
      </w:r>
      <w:r>
        <w:rPr>
          <w:sz w:val="28"/>
          <w:szCs w:val="28"/>
        </w:rPr>
        <w:t xml:space="preserve">установленным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предметом охраны исторического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</w:t>
      </w:r>
      <w:r>
        <w:rPr>
          <w:sz w:val="28"/>
          <w:szCs w:val="28"/>
        </w:rPr>
        <w:t xml:space="preserve"> и в границах территорий зон охраны объектов культурного наследия</w:t>
      </w:r>
      <w:r>
        <w:rPr>
          <w:sz w:val="28"/>
          <w:szCs w:val="28"/>
        </w:rPr>
        <w:t xml:space="preserve">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настоящего </w:t>
      </w:r>
      <w:r>
        <w:rPr>
          <w:sz w:val="28"/>
          <w:szCs w:val="28"/>
        </w:rPr>
        <w:t xml:space="preserve">подпункта не приме</w:t>
      </w:r>
      <w:r>
        <w:rPr>
          <w:sz w:val="28"/>
          <w:szCs w:val="28"/>
        </w:rPr>
        <w:t xml:space="preserve">няются к вывескам, содержащим информацию о размещении территориальных органов федеральных органов государственной власти Российской Федерации, органов государственной власти области, орган</w:t>
      </w:r>
      <w:r>
        <w:rPr>
          <w:sz w:val="28"/>
          <w:szCs w:val="28"/>
        </w:rPr>
        <w:t xml:space="preserve">ов местного самоуправления, го</w:t>
      </w:r>
      <w:r>
        <w:rPr>
          <w:sz w:val="28"/>
          <w:szCs w:val="28"/>
        </w:rPr>
        <w:t xml:space="preserve">сударственных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муниципальных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учреждений и предприятий.».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Настоящее решение подлежит официальному опубликованию, размещению на сайте </w:t>
      </w:r>
      <w:r>
        <w:rPr>
          <w:sz w:val="28"/>
          <w:szCs w:val="28"/>
        </w:rPr>
        <w:t xml:space="preserve">Кирилловского муниципального округа</w:t>
      </w:r>
      <w:r>
        <w:rPr>
          <w:sz w:val="28"/>
          <w:szCs w:val="28"/>
        </w:rPr>
        <w:t xml:space="preserve"> в информационно–телекоммуникационной сети «Интернет»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вступает в силу с</w:t>
      </w:r>
      <w:r>
        <w:rPr>
          <w:sz w:val="28"/>
          <w:szCs w:val="28"/>
        </w:rPr>
        <w:t xml:space="preserve">о дня его принятия</w:t>
      </w:r>
      <w:r>
        <w:rPr>
          <w:sz w:val="28"/>
          <w:szCs w:val="28"/>
        </w:rPr>
        <w:t xml:space="preserve">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67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0" w:type="dxa"/>
            <w:textDirection w:val="lrTb"/>
            <w:noWrap w:val="false"/>
          </w:tcPr>
          <w:p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Представительного Собрания Кирилловского муниципального округа  Вологодской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5" w:type="dxa"/>
            <w:textDirection w:val="lrTb"/>
            <w:noWrap w:val="false"/>
          </w:tcPr>
          <w:p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Кирилловского муниципального округа Вологодской области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0" w:type="dxa"/>
            <w:textDirection w:val="lrTb"/>
            <w:noWrap w:val="false"/>
          </w:tcPr>
          <w:p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В.П.Шачин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5" w:type="dxa"/>
            <w:textDirection w:val="lrTb"/>
            <w:noWrap w:val="false"/>
          </w:tcPr>
          <w:p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А.Н.Тюляндин</w:t>
            </w:r>
            <w:r/>
          </w:p>
        </w:tc>
      </w:tr>
    </w:tbl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567" w:right="680" w:bottom="567" w:left="1701" w:header="397" w:footer="39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Tahoma">
    <w:panose1 w:val="020B0604030504040204"/>
  </w:font>
  <w:font w:name="XO Thames">
    <w:panose1 w:val="02000603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  <w:rPr>
        <w:sz w:val="14"/>
      </w:rPr>
    </w:pPr>
    <w:r>
      <w:rPr>
        <w:sz w:val="14"/>
      </w:rPr>
    </w:r>
    <w:r/>
  </w:p>
  <w:p>
    <w:pPr>
      <w:pStyle w:val="702"/>
      <w:rPr>
        <w:sz w:val="14"/>
      </w:rPr>
    </w:pPr>
    <w:r>
      <w:rPr>
        <w:sz w:val="14"/>
      </w:rPr>
    </w:r>
    <w:r/>
  </w:p>
  <w:p>
    <w:pPr>
      <w:pStyle w:val="702"/>
      <w:rPr>
        <w:sz w:val="14"/>
      </w:rPr>
    </w:pPr>
    <w:r>
      <w:rPr>
        <w:sz w:val="14"/>
      </w:rPr>
    </w:r>
    <w:r/>
  </w:p>
  <w:p>
    <w:pPr>
      <w:pStyle w:val="70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center" w:y="1"/>
    </w:pPr>
    <w:fldSimple w:instr="PAGE \* MERGEFORMAT">
      <w:r>
        <w:t xml:space="preserve">1</w:t>
      </w:r>
    </w:fldSimple>
    <w:r/>
    <w:r/>
  </w:p>
  <w:p>
    <w:pPr>
      <w:pStyle w:val="697"/>
      <w:jc w:val="center"/>
    </w:pPr>
    <w:r/>
    <w:r/>
  </w:p>
  <w:p>
    <w:pPr>
      <w:pStyle w:val="69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8"/>
      <w:numFmt w:val="decimal"/>
      <w:isLgl w:val="false"/>
      <w:suff w:val="tab"/>
      <w:lvlText w:val="%1"/>
      <w:lvlJc w:val="left"/>
      <w:pPr>
        <w:ind w:left="17" w:hanging="872"/>
        <w:jc w:val="left"/>
      </w:pPr>
      <w:rPr>
        <w:rFonts w:hint="default"/>
        <w:lang w:val="ru-RU" w:eastAsia="en-US" w:bidi="ar-SA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bullet"/>
      <w:isLgl w:val="false"/>
      <w:suff w:val="tab"/>
      <w:lvlText w:val="•"/>
      <w:lvlJc w:val="left"/>
      <w:pPr>
        <w:ind w:left="3007" w:hanging="8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03" w:hanging="8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99" w:hanging="8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94" w:hanging="8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90" w:hanging="8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86" w:hanging="8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5"/>
    <w:link w:val="68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5"/>
    <w:link w:val="68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5"/>
    <w:link w:val="68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5"/>
    <w:link w:val="68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5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9"/>
    <w:next w:val="67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9"/>
    <w:next w:val="67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9"/>
    <w:next w:val="67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9"/>
    <w:next w:val="67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85"/>
    <w:link w:val="725"/>
    <w:uiPriority w:val="10"/>
    <w:rPr>
      <w:sz w:val="48"/>
      <w:szCs w:val="48"/>
    </w:rPr>
  </w:style>
  <w:style w:type="character" w:styleId="37">
    <w:name w:val="Subtitle Char"/>
    <w:basedOn w:val="685"/>
    <w:link w:val="723"/>
    <w:uiPriority w:val="11"/>
    <w:rPr>
      <w:sz w:val="24"/>
      <w:szCs w:val="24"/>
    </w:rPr>
  </w:style>
  <w:style w:type="paragraph" w:styleId="38">
    <w:name w:val="Quote"/>
    <w:basedOn w:val="679"/>
    <w:next w:val="67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9"/>
    <w:next w:val="67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5"/>
    <w:link w:val="697"/>
    <w:uiPriority w:val="99"/>
  </w:style>
  <w:style w:type="character" w:styleId="45">
    <w:name w:val="Footer Char"/>
    <w:basedOn w:val="685"/>
    <w:link w:val="702"/>
    <w:uiPriority w:val="99"/>
  </w:style>
  <w:style w:type="paragraph" w:styleId="46">
    <w:name w:val="Caption"/>
    <w:basedOn w:val="679"/>
    <w:next w:val="6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02"/>
    <w:uiPriority w:val="99"/>
  </w:style>
  <w:style w:type="table" w:styleId="49">
    <w:name w:val="Table Grid Light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5"/>
    <w:uiPriority w:val="99"/>
    <w:unhideWhenUsed/>
    <w:rPr>
      <w:vertAlign w:val="superscript"/>
    </w:rPr>
  </w:style>
  <w:style w:type="paragraph" w:styleId="178">
    <w:name w:val="endnote text"/>
    <w:basedOn w:val="67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5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79"/>
    <w:next w:val="679"/>
    <w:uiPriority w:val="99"/>
    <w:unhideWhenUsed/>
    <w:pPr>
      <w:spacing w:after="0" w:afterAutospacing="0"/>
    </w:pPr>
  </w:style>
  <w:style w:type="paragraph" w:styleId="679" w:default="1">
    <w:name w:val="Normal"/>
    <w:link w:val="688"/>
    <w:qFormat/>
  </w:style>
  <w:style w:type="paragraph" w:styleId="680">
    <w:name w:val="Heading 1"/>
    <w:basedOn w:val="679"/>
    <w:next w:val="679"/>
    <w:link w:val="708"/>
    <w:uiPriority w:val="9"/>
    <w:qFormat/>
    <w:pPr>
      <w:jc w:val="center"/>
      <w:keepNext/>
      <w:outlineLvl w:val="0"/>
    </w:pPr>
    <w:rPr>
      <w:b/>
      <w:sz w:val="32"/>
    </w:rPr>
  </w:style>
  <w:style w:type="paragraph" w:styleId="681">
    <w:name w:val="Heading 2"/>
    <w:basedOn w:val="679"/>
    <w:next w:val="679"/>
    <w:link w:val="728"/>
    <w:uiPriority w:val="9"/>
    <w:qFormat/>
    <w:pPr>
      <w:jc w:val="center"/>
      <w:keepNext/>
      <w:outlineLvl w:val="1"/>
    </w:pPr>
    <w:rPr>
      <w:sz w:val="28"/>
    </w:rPr>
  </w:style>
  <w:style w:type="paragraph" w:styleId="682">
    <w:name w:val="Heading 3"/>
    <w:next w:val="679"/>
    <w:link w:val="701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83">
    <w:name w:val="Heading 4"/>
    <w:next w:val="679"/>
    <w:link w:val="727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84">
    <w:name w:val="Heading 5"/>
    <w:next w:val="679"/>
    <w:link w:val="706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character" w:styleId="688" w:customStyle="1">
    <w:name w:val="Обычный1"/>
  </w:style>
  <w:style w:type="paragraph" w:styleId="689">
    <w:name w:val="toc 2"/>
    <w:next w:val="679"/>
    <w:link w:val="690"/>
    <w:uiPriority w:val="39"/>
    <w:pPr>
      <w:ind w:left="200"/>
    </w:pPr>
    <w:rPr>
      <w:rFonts w:ascii="XO Thames" w:hAnsi="XO Thames"/>
      <w:sz w:val="28"/>
    </w:rPr>
  </w:style>
  <w:style w:type="character" w:styleId="690" w:customStyle="1">
    <w:name w:val="Оглавление 2 Знак"/>
    <w:link w:val="689"/>
    <w:rPr>
      <w:rFonts w:ascii="XO Thames" w:hAnsi="XO Thames"/>
      <w:sz w:val="28"/>
    </w:rPr>
  </w:style>
  <w:style w:type="paragraph" w:styleId="691">
    <w:name w:val="toc 4"/>
    <w:next w:val="679"/>
    <w:link w:val="692"/>
    <w:uiPriority w:val="39"/>
    <w:pPr>
      <w:ind w:left="600"/>
    </w:pPr>
    <w:rPr>
      <w:rFonts w:ascii="XO Thames" w:hAnsi="XO Thames"/>
      <w:sz w:val="28"/>
    </w:rPr>
  </w:style>
  <w:style w:type="character" w:styleId="692" w:customStyle="1">
    <w:name w:val="Оглавление 4 Знак"/>
    <w:link w:val="691"/>
    <w:rPr>
      <w:rFonts w:ascii="XO Thames" w:hAnsi="XO Thames"/>
      <w:sz w:val="28"/>
    </w:rPr>
  </w:style>
  <w:style w:type="paragraph" w:styleId="693">
    <w:name w:val="toc 6"/>
    <w:next w:val="679"/>
    <w:link w:val="694"/>
    <w:uiPriority w:val="39"/>
    <w:pPr>
      <w:ind w:left="1000"/>
    </w:pPr>
    <w:rPr>
      <w:rFonts w:ascii="XO Thames" w:hAnsi="XO Thames"/>
      <w:sz w:val="28"/>
    </w:rPr>
  </w:style>
  <w:style w:type="character" w:styleId="694" w:customStyle="1">
    <w:name w:val="Оглавление 6 Знак"/>
    <w:link w:val="693"/>
    <w:rPr>
      <w:rFonts w:ascii="XO Thames" w:hAnsi="XO Thames"/>
      <w:sz w:val="28"/>
    </w:rPr>
  </w:style>
  <w:style w:type="paragraph" w:styleId="695">
    <w:name w:val="toc 7"/>
    <w:next w:val="679"/>
    <w:link w:val="696"/>
    <w:uiPriority w:val="39"/>
    <w:pPr>
      <w:ind w:left="1200"/>
    </w:pPr>
    <w:rPr>
      <w:rFonts w:ascii="XO Thames" w:hAnsi="XO Thames"/>
      <w:sz w:val="28"/>
    </w:rPr>
  </w:style>
  <w:style w:type="character" w:styleId="696" w:customStyle="1">
    <w:name w:val="Оглавление 7 Знак"/>
    <w:link w:val="695"/>
    <w:rPr>
      <w:rFonts w:ascii="XO Thames" w:hAnsi="XO Thames"/>
      <w:sz w:val="28"/>
    </w:rPr>
  </w:style>
  <w:style w:type="paragraph" w:styleId="697">
    <w:name w:val="Header"/>
    <w:basedOn w:val="679"/>
    <w:link w:val="698"/>
    <w:pPr>
      <w:tabs>
        <w:tab w:val="center" w:pos="4153" w:leader="none"/>
        <w:tab w:val="right" w:pos="8306" w:leader="none"/>
      </w:tabs>
    </w:pPr>
  </w:style>
  <w:style w:type="character" w:styleId="698" w:customStyle="1">
    <w:name w:val="Верхний колонтитул Знак"/>
    <w:basedOn w:val="688"/>
    <w:link w:val="697"/>
  </w:style>
  <w:style w:type="paragraph" w:styleId="699" w:customStyle="1">
    <w:name w:val="Endnote"/>
    <w:link w:val="700"/>
    <w:pPr>
      <w:ind w:firstLine="851"/>
      <w:jc w:val="both"/>
    </w:pPr>
    <w:rPr>
      <w:rFonts w:ascii="XO Thames" w:hAnsi="XO Thames"/>
      <w:sz w:val="22"/>
    </w:rPr>
  </w:style>
  <w:style w:type="character" w:styleId="700" w:customStyle="1">
    <w:name w:val="Endnote"/>
    <w:link w:val="699"/>
    <w:rPr>
      <w:rFonts w:ascii="XO Thames" w:hAnsi="XO Thames"/>
      <w:sz w:val="22"/>
    </w:rPr>
  </w:style>
  <w:style w:type="character" w:styleId="701" w:customStyle="1">
    <w:name w:val="Заголовок 3 Знак"/>
    <w:link w:val="682"/>
    <w:rPr>
      <w:rFonts w:ascii="XO Thames" w:hAnsi="XO Thames"/>
      <w:b/>
      <w:sz w:val="26"/>
    </w:rPr>
  </w:style>
  <w:style w:type="paragraph" w:styleId="702">
    <w:name w:val="Footer"/>
    <w:basedOn w:val="679"/>
    <w:link w:val="703"/>
    <w:pPr>
      <w:tabs>
        <w:tab w:val="center" w:pos="4153" w:leader="none"/>
        <w:tab w:val="right" w:pos="8306" w:leader="none"/>
      </w:tabs>
    </w:pPr>
  </w:style>
  <w:style w:type="character" w:styleId="703" w:customStyle="1">
    <w:name w:val="Нижний колонтитул Знак"/>
    <w:basedOn w:val="688"/>
    <w:link w:val="702"/>
  </w:style>
  <w:style w:type="paragraph" w:styleId="704">
    <w:name w:val="toc 3"/>
    <w:next w:val="679"/>
    <w:link w:val="705"/>
    <w:uiPriority w:val="39"/>
    <w:pPr>
      <w:ind w:left="400"/>
    </w:pPr>
    <w:rPr>
      <w:rFonts w:ascii="XO Thames" w:hAnsi="XO Thames"/>
      <w:sz w:val="28"/>
    </w:rPr>
  </w:style>
  <w:style w:type="character" w:styleId="705" w:customStyle="1">
    <w:name w:val="Оглавление 3 Знак"/>
    <w:link w:val="704"/>
    <w:rPr>
      <w:rFonts w:ascii="XO Thames" w:hAnsi="XO Thames"/>
      <w:sz w:val="28"/>
    </w:rPr>
  </w:style>
  <w:style w:type="character" w:styleId="706" w:customStyle="1">
    <w:name w:val="Заголовок 5 Знак"/>
    <w:link w:val="684"/>
    <w:rPr>
      <w:rFonts w:ascii="XO Thames" w:hAnsi="XO Thames"/>
      <w:b/>
      <w:sz w:val="22"/>
    </w:rPr>
  </w:style>
  <w:style w:type="paragraph" w:styleId="707" w:customStyle="1">
    <w:name w:val="Основной шрифт абзаца1"/>
    <w:link w:val="680"/>
  </w:style>
  <w:style w:type="character" w:styleId="708" w:customStyle="1">
    <w:name w:val="Заголовок 1 Знак"/>
    <w:basedOn w:val="688"/>
    <w:link w:val="680"/>
    <w:rPr>
      <w:b/>
      <w:sz w:val="32"/>
    </w:rPr>
  </w:style>
  <w:style w:type="paragraph" w:styleId="709" w:customStyle="1">
    <w:name w:val="Гиперссылка1"/>
    <w:link w:val="710"/>
    <w:rPr>
      <w:color w:val="0000ff"/>
      <w:u w:val="single"/>
    </w:rPr>
  </w:style>
  <w:style w:type="character" w:styleId="710">
    <w:name w:val="Hyperlink"/>
    <w:link w:val="709"/>
    <w:rPr>
      <w:color w:val="0000ff"/>
      <w:u w:val="single"/>
    </w:rPr>
  </w:style>
  <w:style w:type="paragraph" w:styleId="711" w:customStyle="1">
    <w:name w:val="Footnote"/>
    <w:link w:val="712"/>
    <w:pPr>
      <w:ind w:firstLine="851"/>
      <w:jc w:val="both"/>
    </w:pPr>
    <w:rPr>
      <w:rFonts w:ascii="XO Thames" w:hAnsi="XO Thames"/>
      <w:sz w:val="22"/>
    </w:rPr>
  </w:style>
  <w:style w:type="character" w:styleId="712" w:customStyle="1">
    <w:name w:val="Footnote"/>
    <w:link w:val="711"/>
    <w:rPr>
      <w:rFonts w:ascii="XO Thames" w:hAnsi="XO Thames"/>
      <w:sz w:val="22"/>
    </w:rPr>
  </w:style>
  <w:style w:type="paragraph" w:styleId="713">
    <w:name w:val="toc 1"/>
    <w:next w:val="679"/>
    <w:link w:val="714"/>
    <w:uiPriority w:val="39"/>
    <w:rPr>
      <w:rFonts w:ascii="XO Thames" w:hAnsi="XO Thames"/>
      <w:b/>
      <w:sz w:val="28"/>
    </w:rPr>
  </w:style>
  <w:style w:type="character" w:styleId="714" w:customStyle="1">
    <w:name w:val="Оглавление 1 Знак"/>
    <w:link w:val="713"/>
    <w:rPr>
      <w:rFonts w:ascii="XO Thames" w:hAnsi="XO Thames"/>
      <w:b/>
      <w:sz w:val="28"/>
    </w:rPr>
  </w:style>
  <w:style w:type="paragraph" w:styleId="715" w:customStyle="1">
    <w:name w:val="Header and Footer"/>
    <w:link w:val="716"/>
    <w:pPr>
      <w:jc w:val="both"/>
    </w:pPr>
    <w:rPr>
      <w:rFonts w:ascii="XO Thames" w:hAnsi="XO Thames"/>
    </w:rPr>
  </w:style>
  <w:style w:type="character" w:styleId="716" w:customStyle="1">
    <w:name w:val="Header and Footer"/>
    <w:link w:val="715"/>
    <w:rPr>
      <w:rFonts w:ascii="XO Thames" w:hAnsi="XO Thames"/>
      <w:sz w:val="20"/>
    </w:rPr>
  </w:style>
  <w:style w:type="paragraph" w:styleId="717">
    <w:name w:val="toc 9"/>
    <w:next w:val="679"/>
    <w:link w:val="718"/>
    <w:uiPriority w:val="39"/>
    <w:pPr>
      <w:ind w:left="1600"/>
    </w:pPr>
    <w:rPr>
      <w:rFonts w:ascii="XO Thames" w:hAnsi="XO Thames"/>
      <w:sz w:val="28"/>
    </w:rPr>
  </w:style>
  <w:style w:type="character" w:styleId="718" w:customStyle="1">
    <w:name w:val="Оглавление 9 Знак"/>
    <w:link w:val="717"/>
    <w:rPr>
      <w:rFonts w:ascii="XO Thames" w:hAnsi="XO Thames"/>
      <w:sz w:val="28"/>
    </w:rPr>
  </w:style>
  <w:style w:type="paragraph" w:styleId="719">
    <w:name w:val="toc 8"/>
    <w:next w:val="679"/>
    <w:link w:val="720"/>
    <w:uiPriority w:val="39"/>
    <w:pPr>
      <w:ind w:left="1400"/>
    </w:pPr>
    <w:rPr>
      <w:rFonts w:ascii="XO Thames" w:hAnsi="XO Thames"/>
      <w:sz w:val="28"/>
    </w:rPr>
  </w:style>
  <w:style w:type="character" w:styleId="720" w:customStyle="1">
    <w:name w:val="Оглавление 8 Знак"/>
    <w:link w:val="719"/>
    <w:rPr>
      <w:rFonts w:ascii="XO Thames" w:hAnsi="XO Thames"/>
      <w:sz w:val="28"/>
    </w:rPr>
  </w:style>
  <w:style w:type="paragraph" w:styleId="721">
    <w:name w:val="toc 5"/>
    <w:next w:val="679"/>
    <w:link w:val="722"/>
    <w:uiPriority w:val="39"/>
    <w:pPr>
      <w:ind w:left="800"/>
    </w:pPr>
    <w:rPr>
      <w:rFonts w:ascii="XO Thames" w:hAnsi="XO Thames"/>
      <w:sz w:val="28"/>
    </w:rPr>
  </w:style>
  <w:style w:type="character" w:styleId="722" w:customStyle="1">
    <w:name w:val="Оглавление 5 Знак"/>
    <w:link w:val="721"/>
    <w:rPr>
      <w:rFonts w:ascii="XO Thames" w:hAnsi="XO Thames"/>
      <w:sz w:val="28"/>
    </w:rPr>
  </w:style>
  <w:style w:type="paragraph" w:styleId="723">
    <w:name w:val="Subtitle"/>
    <w:next w:val="679"/>
    <w:link w:val="72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724" w:customStyle="1">
    <w:name w:val="Подзаголовок Знак"/>
    <w:link w:val="723"/>
    <w:rPr>
      <w:rFonts w:ascii="XO Thames" w:hAnsi="XO Thames"/>
      <w:i/>
      <w:sz w:val="24"/>
    </w:rPr>
  </w:style>
  <w:style w:type="paragraph" w:styleId="725">
    <w:name w:val="Title"/>
    <w:next w:val="679"/>
    <w:link w:val="726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726" w:customStyle="1">
    <w:name w:val="Название Знак"/>
    <w:link w:val="725"/>
    <w:rPr>
      <w:rFonts w:ascii="XO Thames" w:hAnsi="XO Thames"/>
      <w:b/>
      <w:caps/>
      <w:sz w:val="40"/>
    </w:rPr>
  </w:style>
  <w:style w:type="character" w:styleId="727" w:customStyle="1">
    <w:name w:val="Заголовок 4 Знак"/>
    <w:link w:val="683"/>
    <w:rPr>
      <w:rFonts w:ascii="XO Thames" w:hAnsi="XO Thames"/>
      <w:b/>
      <w:sz w:val="24"/>
    </w:rPr>
  </w:style>
  <w:style w:type="character" w:styleId="728" w:customStyle="1">
    <w:name w:val="Заголовок 2 Знак"/>
    <w:basedOn w:val="688"/>
    <w:link w:val="681"/>
    <w:rPr>
      <w:sz w:val="28"/>
    </w:rPr>
  </w:style>
  <w:style w:type="table" w:styleId="729">
    <w:name w:val="Table Grid"/>
    <w:basedOn w:val="686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30">
    <w:name w:val="Balloon Text"/>
    <w:basedOn w:val="679"/>
    <w:link w:val="731"/>
    <w:uiPriority w:val="99"/>
    <w:semiHidden/>
    <w:unhideWhenUsed/>
    <w:rPr>
      <w:rFonts w:ascii="Tahoma" w:hAnsi="Tahoma" w:cs="Tahoma"/>
      <w:sz w:val="16"/>
      <w:szCs w:val="16"/>
    </w:rPr>
  </w:style>
  <w:style w:type="character" w:styleId="731" w:customStyle="1">
    <w:name w:val="Текст выноски Знак"/>
    <w:basedOn w:val="685"/>
    <w:link w:val="730"/>
    <w:uiPriority w:val="99"/>
    <w:semiHidden/>
    <w:rPr>
      <w:rFonts w:ascii="Tahoma" w:hAnsi="Tahoma" w:cs="Tahoma"/>
      <w:sz w:val="16"/>
      <w:szCs w:val="16"/>
    </w:rPr>
  </w:style>
  <w:style w:type="paragraph" w:styleId="732">
    <w:name w:val="Normal (Web)"/>
    <w:basedOn w:val="679"/>
    <w:uiPriority w:val="99"/>
    <w:semiHidden/>
    <w:unhideWhenUsed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733" w:customStyle="1">
    <w:name w:val="no-indent"/>
    <w:basedOn w:val="679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734">
    <w:name w:val="Body Text"/>
    <w:basedOn w:val="679"/>
    <w:link w:val="735"/>
    <w:uiPriority w:val="1"/>
    <w:qFormat/>
    <w:pPr>
      <w:jc w:val="both"/>
      <w:widowControl w:val="off"/>
    </w:pPr>
    <w:rPr>
      <w:rFonts w:ascii="Cambria" w:hAnsi="Cambria" w:eastAsia="Cambria" w:cs="Cambria"/>
      <w:color w:val="auto"/>
      <w:sz w:val="28"/>
      <w:szCs w:val="28"/>
      <w:lang w:eastAsia="en-US"/>
    </w:rPr>
  </w:style>
  <w:style w:type="character" w:styleId="735" w:customStyle="1">
    <w:name w:val="Основной текст Знак"/>
    <w:basedOn w:val="685"/>
    <w:link w:val="734"/>
    <w:uiPriority w:val="1"/>
    <w:rPr>
      <w:rFonts w:ascii="Cambria" w:hAnsi="Cambria" w:eastAsia="Cambria" w:cs="Cambria"/>
      <w:color w:val="auto"/>
      <w:sz w:val="28"/>
      <w:szCs w:val="28"/>
      <w:lang w:eastAsia="en-US"/>
    </w:rPr>
  </w:style>
  <w:style w:type="paragraph" w:styleId="736">
    <w:name w:val="List Paragraph"/>
    <w:basedOn w:val="679"/>
    <w:uiPriority w:val="1"/>
    <w:qFormat/>
    <w:pPr>
      <w:ind w:left="17" w:right="118" w:firstLine="718"/>
      <w:jc w:val="both"/>
      <w:widowControl w:val="off"/>
    </w:pPr>
    <w:rPr>
      <w:rFonts w:ascii="Cambria" w:hAnsi="Cambria" w:eastAsia="Cambria" w:cs="Cambria"/>
      <w:color w:val="auto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ARH5</dc:creator>
  <cp:revision>3</cp:revision>
  <dcterms:created xsi:type="dcterms:W3CDTF">2025-05-29T12:49:00Z</dcterms:created>
  <dcterms:modified xsi:type="dcterms:W3CDTF">2025-05-29T13:11:25Z</dcterms:modified>
</cp:coreProperties>
</file>